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2A0" w:rsidRDefault="00E712A0">
      <w:r>
        <w:t>Занятие 6</w:t>
      </w:r>
      <w:r w:rsidR="00E40ECE">
        <w:t>-2</w:t>
      </w:r>
    </w:p>
    <w:p w:rsidR="00602123" w:rsidRPr="00800EFC" w:rsidRDefault="00E712A0" w:rsidP="00E712A0">
      <w:pPr>
        <w:pStyle w:val="a3"/>
        <w:jc w:val="center"/>
        <w:rPr>
          <w:rFonts w:ascii="Calibri" w:hAnsi="Calibri"/>
          <w:caps/>
          <w:sz w:val="24"/>
          <w:szCs w:val="24"/>
          <w:lang w:val="ru-MD" w:eastAsia="ko-KR"/>
        </w:rPr>
      </w:pPr>
      <w:r w:rsidRPr="000A374D">
        <w:rPr>
          <w:b/>
          <w:caps/>
          <w:sz w:val="24"/>
          <w:szCs w:val="24"/>
          <w:lang w:val="ru-MD"/>
        </w:rPr>
        <w:t>балки и балочные конструкции</w:t>
      </w:r>
      <w:r w:rsidR="00602123"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</w:t>
      </w:r>
    </w:p>
    <w:p w:rsidR="00E712A0" w:rsidRPr="000A374D" w:rsidRDefault="00602123" w:rsidP="00E712A0">
      <w:pPr>
        <w:pStyle w:val="a3"/>
        <w:jc w:val="center"/>
        <w:rPr>
          <w:b/>
          <w:caps/>
          <w:sz w:val="24"/>
          <w:szCs w:val="24"/>
          <w:lang w:val="ru-MD"/>
        </w:rPr>
      </w:pP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Àð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æ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a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íå àð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òû 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Ku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ðûëûìäàð</w:t>
      </w: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0"/>
        <w:gridCol w:w="7960"/>
      </w:tblGrid>
      <w:tr w:rsidR="000A374D" w:rsidRPr="00800EFC" w:rsidTr="002F77AD">
        <w:tc>
          <w:tcPr>
            <w:tcW w:w="7960" w:type="dxa"/>
            <w:shd w:val="clear" w:color="auto" w:fill="auto"/>
          </w:tcPr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6. Пути усовершенствования балочных конструкций.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Широкое применение и использование балочных конструкций привели к появлению ряда более эффективных и экономичных конструктивных форм, чем традиционные.</w:t>
            </w: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Балки с перфорированной стенкой</w:t>
            </w:r>
            <w:r w:rsidRPr="00800EFC">
              <w:rPr>
                <w:sz w:val="24"/>
                <w:szCs w:val="24"/>
                <w:lang w:val="ru-MD"/>
              </w:rPr>
              <w:t xml:space="preserve"> – "НС" в 1,3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1,5 раза выше исходн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го двутавра, что определяется их большой высотой (рисунок 8.25). Конкурир</w:t>
            </w:r>
            <w:r w:rsidRPr="00800EFC">
              <w:rPr>
                <w:sz w:val="24"/>
                <w:szCs w:val="24"/>
                <w:lang w:val="ru-MD"/>
              </w:rPr>
              <w:t>у</w:t>
            </w:r>
            <w:r w:rsidRPr="00800EFC">
              <w:rPr>
                <w:sz w:val="24"/>
                <w:szCs w:val="24"/>
                <w:lang w:val="ru-MD"/>
              </w:rPr>
              <w:t>ют с решетч</w:t>
            </w:r>
            <w:r w:rsidRPr="00800EFC">
              <w:rPr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тыми конструкциями.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роспуске двутавра желательно соблюдать следующие зависимости: 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1</w:t>
            </w:r>
            <w:r w:rsidRPr="00800EFC">
              <w:rPr>
                <w:sz w:val="24"/>
                <w:szCs w:val="24"/>
                <w:lang w:val="ru-MD"/>
              </w:rPr>
              <w:t>=(0,6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 xml:space="preserve">0,75)h;  a </w: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 xml:space="preserve"> 90 мм;  к </w: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 xml:space="preserve"> 250  мм;  </w:t>
            </w:r>
            <w:r w:rsidRPr="00800EFC">
              <w:rPr>
                <w:sz w:val="24"/>
                <w:szCs w:val="24"/>
                <w:lang w:val="ru-MD"/>
              </w:rPr>
              <w:sym w:font="Symbol" w:char="F061"/>
            </w:r>
            <w:r w:rsidRPr="00800EFC">
              <w:rPr>
                <w:sz w:val="24"/>
                <w:szCs w:val="24"/>
                <w:lang w:val="ru-MD"/>
              </w:rPr>
              <w:t>=40º-70º.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71"/>
            </w:tblGrid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371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859530" cy="3955415"/>
                        <wp:effectExtent l="0" t="0" r="7620" b="6985"/>
                        <wp:docPr id="149" name="Рисунок 149" descr="Табл7-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9" descr="Табл7-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978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59530" cy="39554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37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а – роспуск исходного двутавра; б – сварка сквозного двутавра; 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в – к расчету сквозного дв</w:t>
                  </w:r>
                  <w:r w:rsidRPr="000A374D">
                    <w:rPr>
                      <w:sz w:val="24"/>
                      <w:szCs w:val="24"/>
                      <w:lang w:val="ru-MD"/>
                    </w:rPr>
                    <w:t>у</w:t>
                  </w:r>
                  <w:r w:rsidRPr="000A374D">
                    <w:rPr>
                      <w:sz w:val="24"/>
                      <w:szCs w:val="24"/>
                      <w:lang w:val="ru-MD"/>
                    </w:rPr>
                    <w:t>тавра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8.25 – Балки с перфорированной стенкой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Положение сосредоточенных нагрузок должны совпадать с положением сплошных участков стенки.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Для однопролетных сквозных балок более экономичны балки из двух м</w:t>
            </w:r>
            <w:r w:rsidRPr="00800EFC">
              <w:rPr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рок сталей – верхняя часть из обычной малоуглеродистой и двутавра с более толстой стенкой, нижняя часть – из более прочной стали и двутавра с более тонкой стенкой.</w:t>
            </w: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Бистальные балки.</w:t>
            </w:r>
            <w:r w:rsidRPr="00800EFC">
              <w:rPr>
                <w:sz w:val="24"/>
                <w:szCs w:val="24"/>
                <w:lang w:val="ru-MD"/>
              </w:rPr>
              <w:t xml:space="preserve"> Изготавливают из двух марок стали различной про</w:t>
            </w:r>
            <w:r w:rsidRPr="00800EFC">
              <w:rPr>
                <w:sz w:val="24"/>
                <w:szCs w:val="24"/>
                <w:lang w:val="ru-MD"/>
              </w:rPr>
              <w:t>ч</w:t>
            </w:r>
            <w:r w:rsidRPr="00800EFC">
              <w:rPr>
                <w:sz w:val="24"/>
                <w:szCs w:val="24"/>
                <w:lang w:val="ru-MD"/>
              </w:rPr>
              <w:t>ности. Вся стенка и пояса вблизи опор балки выполняют из малоуглеродистой стали (рисунок 8.26).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Расчет этих балок учитывает возможное появление пластичности в кра</w:t>
            </w:r>
            <w:r w:rsidRPr="00800EFC">
              <w:rPr>
                <w:sz w:val="24"/>
                <w:szCs w:val="24"/>
                <w:lang w:val="ru-MD"/>
              </w:rPr>
              <w:t>й</w:t>
            </w:r>
            <w:r w:rsidRPr="00800EFC">
              <w:rPr>
                <w:sz w:val="24"/>
                <w:szCs w:val="24"/>
                <w:lang w:val="ru-MD"/>
              </w:rPr>
              <w:t>них участках стенки в предположении, что здесь σ=σ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ст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т</w:t>
            </w:r>
            <w:r w:rsidRPr="00800EFC">
              <w:rPr>
                <w:sz w:val="24"/>
                <w:szCs w:val="24"/>
                <w:lang w:val="ru-MD"/>
              </w:rPr>
              <w:t>, а по толщине пояса σ=σ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т</w: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875"/>
            </w:tblGrid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rPr>
                <w:trHeight w:val="2192"/>
              </w:trPr>
              <w:tc>
                <w:tcPr>
                  <w:tcW w:w="6875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284980" cy="1807845"/>
                        <wp:effectExtent l="0" t="0" r="1270" b="1905"/>
                        <wp:docPr id="150" name="Рисунок 150" descr="Табл7-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0" descr="Табл7-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24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84980" cy="18078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rPr>
                <w:trHeight w:val="216"/>
              </w:trPr>
              <w:tc>
                <w:tcPr>
                  <w:tcW w:w="687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8.26 – Бистальная балка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Проверка прочности балки выполняется по формуле</w:t>
            </w:r>
          </w:p>
          <w:p w:rsidR="000A374D" w:rsidRPr="00800EFC" w:rsidRDefault="000A374D" w:rsidP="00800EFC">
            <w:pPr>
              <w:pStyle w:val="a3"/>
              <w:ind w:firstLine="0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8220" w:dyaOrig="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1.05pt;height:21.75pt" o:ole="" fillcolor="window">
                  <v:imagedata r:id="rId7" o:title=""/>
                </v:shape>
                <o:OLEObject Type="Embed" ProgID="Equation.3" ShapeID="_x0000_i1025" DrawAspect="Content" ObjectID="_1678090009" r:id="rId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(8.87)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 а=(R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cт</w:t>
            </w:r>
            <w:r w:rsidRPr="00800EFC">
              <w:rPr>
                <w:sz w:val="24"/>
                <w:szCs w:val="24"/>
                <w:lang w:val="ru-MD"/>
              </w:rPr>
              <w:t>/R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lang w:val="ru-MD"/>
              </w:rPr>
              <w:t>)(h/2)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W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прив</w:t>
            </w:r>
            <w:r w:rsidRPr="00800EFC">
              <w:rPr>
                <w:sz w:val="24"/>
                <w:szCs w:val="24"/>
                <w:lang w:val="ru-MD"/>
              </w:rPr>
              <w:t>=А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f</w:t>
            </w:r>
            <w:r w:rsidRPr="00800EFC">
              <w:rPr>
                <w:sz w:val="24"/>
                <w:szCs w:val="24"/>
                <w:lang w:val="ru-MD"/>
              </w:rPr>
              <w:t>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>+W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>·m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cт</w:t>
            </w:r>
            <w:r w:rsidRPr="00800EFC">
              <w:rPr>
                <w:sz w:val="24"/>
                <w:szCs w:val="24"/>
                <w:lang w:val="ru-MD"/>
              </w:rPr>
              <w:t>; 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lang w:val="ru-MD"/>
              </w:rPr>
              <w:t xml:space="preserve"> – расчетное сопротивления материалов стенки и верхнего пояса</w:t>
            </w:r>
          </w:p>
          <w:p w:rsidR="000A374D" w:rsidRPr="00800EFC" w:rsidRDefault="000A374D" w:rsidP="00800EFC">
            <w:pPr>
              <w:pStyle w:val="a3"/>
              <w:ind w:firstLine="0"/>
              <w:jc w:val="center"/>
              <w:rPr>
                <w:sz w:val="24"/>
                <w:szCs w:val="24"/>
                <w:lang w:val="ru-MD"/>
              </w:rPr>
            </w:pPr>
            <w:r w:rsidRPr="00800EFC">
              <w:rPr>
                <w:position w:val="-46"/>
                <w:sz w:val="24"/>
                <w:szCs w:val="24"/>
                <w:lang w:val="ru-MD"/>
              </w:rPr>
              <w:object w:dxaOrig="5220" w:dyaOrig="1060">
                <v:shape id="_x0000_i1026" type="#_x0000_t75" style="width:261.2pt;height:52.75pt" o:ole="" fillcolor="window">
                  <v:imagedata r:id="rId9" o:title=""/>
                </v:shape>
                <o:OLEObject Type="Embed" ProgID="Equation.3" ShapeID="_x0000_i1026" DrawAspect="Content" ObjectID="_1678090010" r:id="rId10"/>
              </w:objec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Длина участка балки с поясами из высокопрочной стали определяется по эпюре М, то есть М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max</w:t>
            </w:r>
            <w:r w:rsidRPr="00800EFC">
              <w:rPr>
                <w:sz w:val="24"/>
                <w:szCs w:val="24"/>
                <w:lang w:val="ru-MD"/>
              </w:rPr>
              <w:t>=R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lang w:val="ru-MD"/>
              </w:rPr>
              <w:t>·W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прив.</w:t>
            </w:r>
            <w:r w:rsidRPr="00800EFC">
              <w:rPr>
                <w:sz w:val="24"/>
                <w:szCs w:val="24"/>
                <w:lang w:val="ru-MD"/>
              </w:rPr>
              <w:t>·γ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с</w:t>
            </w:r>
            <w:r w:rsidRPr="00800EFC">
              <w:rPr>
                <w:sz w:val="24"/>
                <w:szCs w:val="24"/>
                <w:lang w:val="ru-MD"/>
              </w:rPr>
              <w:t xml:space="preserve"> и М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max</w:t>
            </w:r>
            <w:r w:rsidRPr="00800EFC">
              <w:rPr>
                <w:sz w:val="24"/>
                <w:szCs w:val="24"/>
                <w:lang w:val="ru-MD"/>
              </w:rPr>
              <w:t>= 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cт</w:t>
            </w:r>
            <w:r w:rsidRPr="00800EFC">
              <w:rPr>
                <w:sz w:val="24"/>
                <w:szCs w:val="24"/>
                <w:lang w:val="ru-MD"/>
              </w:rPr>
              <w:t>·W·γ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с</w:t>
            </w:r>
            <w:r w:rsidRPr="00800EFC">
              <w:rPr>
                <w:sz w:val="24"/>
                <w:szCs w:val="24"/>
                <w:lang w:val="ru-MD"/>
              </w:rPr>
              <w:t>. Подбор сечения аналог</w:t>
            </w:r>
            <w:r w:rsidRPr="00800EFC">
              <w:rPr>
                <w:sz w:val="24"/>
                <w:szCs w:val="24"/>
                <w:lang w:val="ru-MD"/>
              </w:rPr>
              <w:t>и</w:t>
            </w:r>
            <w:r w:rsidRPr="00800EFC">
              <w:rPr>
                <w:sz w:val="24"/>
                <w:szCs w:val="24"/>
                <w:lang w:val="ru-MD"/>
              </w:rPr>
              <w:t>чен обычным составным балкам.</w:t>
            </w: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lastRenderedPageBreak/>
              <w:t>Предварительно напряженные балки.</w:t>
            </w:r>
            <w:r w:rsidRPr="00800EFC">
              <w:rPr>
                <w:sz w:val="24"/>
                <w:szCs w:val="24"/>
                <w:lang w:val="ru-MD"/>
              </w:rPr>
              <w:t xml:space="preserve"> Удается уменьшить расход мета</w:t>
            </w:r>
            <w:r w:rsidRPr="00800EFC">
              <w:rPr>
                <w:sz w:val="24"/>
                <w:szCs w:val="24"/>
                <w:lang w:val="ru-MD"/>
              </w:rPr>
              <w:t>л</w:t>
            </w:r>
            <w:r w:rsidRPr="00800EFC">
              <w:rPr>
                <w:sz w:val="24"/>
                <w:szCs w:val="24"/>
                <w:lang w:val="ru-MD"/>
              </w:rPr>
              <w:t>ла на 10-20 %, а стоимость балки на 5-12 %, понизить строительную высоту, рационально распределить материал по длине.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Преднапряжение увеличивает протяженность упругой работы стали, м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жет быть создано изгибом отдельных элементов с последующим их сопряжен</w:t>
            </w:r>
            <w:r w:rsidRPr="00800EFC">
              <w:rPr>
                <w:sz w:val="24"/>
                <w:szCs w:val="24"/>
                <w:lang w:val="ru-MD"/>
              </w:rPr>
              <w:t>и</w:t>
            </w:r>
            <w:r w:rsidRPr="00800EFC">
              <w:rPr>
                <w:sz w:val="24"/>
                <w:szCs w:val="24"/>
                <w:lang w:val="ru-MD"/>
              </w:rPr>
              <w:t>ем, высокопрочной затяжкой.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Расчет таких балок в наиболее напряженном сечении ведут в два этапа: проверяют прочность во время преднапряжения и окончательный расчет н</w:t>
            </w:r>
            <w:r w:rsidRPr="00800EFC">
              <w:rPr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пряжений балки под нагрузкой.</w:t>
            </w: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Балки с гибкой стенкой.</w:t>
            </w:r>
            <w:r w:rsidRPr="00800EFC">
              <w:rPr>
                <w:sz w:val="24"/>
                <w:szCs w:val="24"/>
                <w:lang w:val="ru-MD"/>
              </w:rPr>
              <w:t xml:space="preserve"> Используется фактор закритической работы стенки, которую можно делать более тонкой и достигнуть экономию металла.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Работа и расчет, где 6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position w:val="-12"/>
                <w:sz w:val="24"/>
                <w:szCs w:val="24"/>
                <w:lang w:val="ru-MD"/>
              </w:rPr>
              <w:t xml:space="preserve">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27" type="#_x0000_t75" style="width:18.4pt;height:20.1pt" o:ole="" fillcolor="window">
                  <v:imagedata r:id="rId11" o:title=""/>
                </v:shape>
                <o:OLEObject Type="Embed" ProgID="Equation.3" ShapeID="_x0000_i1027" DrawAspect="Content" ObjectID="_1678090011" r:id="rId12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13, существенно отличаются от традиционных балок. Ребра жесткости ставят на расстоянии (1-1,5)h и каждый отсек провер</w:t>
            </w:r>
            <w:r w:rsidRPr="00800EFC">
              <w:rPr>
                <w:sz w:val="24"/>
                <w:szCs w:val="24"/>
                <w:lang w:val="ru-MD"/>
              </w:rPr>
              <w:t>я</w:t>
            </w:r>
            <w:r w:rsidRPr="00800EFC">
              <w:rPr>
                <w:sz w:val="24"/>
                <w:szCs w:val="24"/>
                <w:lang w:val="ru-MD"/>
              </w:rPr>
              <w:t>ется на М и Q.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Рекомендуется применять их при статической нагрузке до 50 кН/м из стали с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т</w:t>
            </w:r>
            <w:r w:rsidRPr="00800EFC">
              <w:rPr>
                <w:sz w:val="24"/>
                <w:szCs w:val="24"/>
                <w:lang w:val="ru-MD"/>
              </w:rPr>
              <w:t xml:space="preserve"> до 34,5 кН/см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2</w: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Балки с гофрированной стенкой</w:t>
            </w:r>
            <w:r w:rsidRPr="00800EFC">
              <w:rPr>
                <w:sz w:val="24"/>
                <w:szCs w:val="24"/>
                <w:lang w:val="ru-MD"/>
              </w:rPr>
              <w:t xml:space="preserve"> – разновидность тонкостенных, толщ</w:t>
            </w:r>
            <w:r w:rsidRPr="00800EFC">
              <w:rPr>
                <w:sz w:val="24"/>
                <w:szCs w:val="24"/>
                <w:lang w:val="ru-MD"/>
              </w:rPr>
              <w:t>и</w:t>
            </w:r>
            <w:r w:rsidRPr="00800EFC">
              <w:rPr>
                <w:sz w:val="24"/>
                <w:szCs w:val="24"/>
                <w:lang w:val="ru-MD"/>
              </w:rPr>
              <w:t>на стенки 2-8 мм с гофрами – треугольные, волнистые, трапецеидальные и пр</w:t>
            </w:r>
            <w:r w:rsidRPr="00800EFC">
              <w:rPr>
                <w:sz w:val="24"/>
                <w:szCs w:val="24"/>
                <w:lang w:val="ru-MD"/>
              </w:rPr>
              <w:t>я</w:t>
            </w:r>
            <w:r w:rsidRPr="00800EFC">
              <w:rPr>
                <w:sz w:val="24"/>
                <w:szCs w:val="24"/>
                <w:lang w:val="ru-MD"/>
              </w:rPr>
              <w:t>м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угольные.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Преимущества – тонкостенность, отсутствие поперечных ребер и более выгодная работа поясов. Недостаток – сложность их изготовления. Перспе</w:t>
            </w:r>
            <w:r w:rsidRPr="00800EFC">
              <w:rPr>
                <w:sz w:val="24"/>
                <w:szCs w:val="24"/>
                <w:lang w:val="ru-MD"/>
              </w:rPr>
              <w:t>к</w:t>
            </w:r>
            <w:r w:rsidRPr="00800EFC">
              <w:rPr>
                <w:sz w:val="24"/>
                <w:szCs w:val="24"/>
                <w:lang w:val="ru-MD"/>
              </w:rPr>
              <w:t>тивной областью их применения являются легкие покрытия производственных зданий пролетом до 30 м.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Монтажные стыки – фланцевые на высокопрочных болтах.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Общепринятой методики расчета нет. Могут быть использованы, при пр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верке прочности, следующие формулы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60"/>
                <w:sz w:val="24"/>
                <w:szCs w:val="24"/>
                <w:lang w:val="ru-MD"/>
              </w:rPr>
              <w:object w:dxaOrig="2960" w:dyaOrig="1340">
                <v:shape id="_x0000_i1028" type="#_x0000_t75" style="width:148.2pt;height:67pt" o:ole="" fillcolor="window">
                  <v:imagedata r:id="rId13" o:title=""/>
                </v:shape>
                <o:OLEObject Type="Embed" ProgID="Equation.3" ShapeID="_x0000_i1028" DrawAspect="Content" ObjectID="_1678090012" r:id="rId1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(8.88)</w:t>
            </w: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2F77AD" w:rsidRDefault="002F77AD" w:rsidP="00800EFC">
            <w:pPr>
              <w:pStyle w:val="a3"/>
              <w:tabs>
                <w:tab w:val="num" w:pos="643"/>
                <w:tab w:val="num" w:pos="851"/>
              </w:tabs>
              <w:rPr>
                <w:b/>
                <w:sz w:val="24"/>
                <w:szCs w:val="24"/>
                <w:lang w:val="ru-MD"/>
              </w:rPr>
            </w:pPr>
          </w:p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  <w:bookmarkStart w:id="0" w:name="_GoBack"/>
            <w:bookmarkEnd w:id="0"/>
            <w:r w:rsidRPr="00800EFC">
              <w:rPr>
                <w:b/>
                <w:sz w:val="24"/>
                <w:szCs w:val="24"/>
                <w:lang w:val="ru-MD"/>
              </w:rPr>
              <w:t>Балки с трубобетонным верхним поясом</w:t>
            </w:r>
            <w:r w:rsidRPr="00800EFC">
              <w:rPr>
                <w:sz w:val="24"/>
                <w:szCs w:val="24"/>
                <w:lang w:val="ru-MD"/>
              </w:rPr>
              <w:t xml:space="preserve"> отличаются от традиционных балок отсутствием ребер жесткости и наличии трубобетонного вместо металл</w:t>
            </w:r>
            <w:r w:rsidRPr="00800EFC">
              <w:rPr>
                <w:sz w:val="24"/>
                <w:szCs w:val="24"/>
                <w:lang w:val="ru-MD"/>
              </w:rPr>
              <w:t>и</w:t>
            </w:r>
            <w:r w:rsidRPr="00800EFC">
              <w:rPr>
                <w:sz w:val="24"/>
                <w:szCs w:val="24"/>
                <w:lang w:val="ru-MD"/>
              </w:rPr>
              <w:t>ческого верхнего пояса балки (рисунок 8.27).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Могут служить несущими конструкциями покрытий и перекрытий пр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мышленных и гражданских сооружений при действии статических нагрузок и пролетах 12, 18, 24 м, в отдельных случаях и более.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Замена стальных традиционных балок на рассматриваемые (в пределах указанных пролетов) дают экономию: стали ≈20 %, трудозатрат при изготовл</w:t>
            </w:r>
            <w:r w:rsidRPr="00800EFC">
              <w:rPr>
                <w:sz w:val="24"/>
                <w:szCs w:val="24"/>
                <w:lang w:val="ru-MD"/>
              </w:rPr>
              <w:t>е</w:t>
            </w:r>
            <w:r w:rsidRPr="00800EFC">
              <w:rPr>
                <w:sz w:val="24"/>
                <w:szCs w:val="24"/>
                <w:lang w:val="ru-MD"/>
              </w:rPr>
              <w:t>нии ≈ на 5-10 %, при монтаже ≈5-7 %, стоимости в деле ≈ до 20 %.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Это достигается за счет полного использования свойств бетона при работе на сжатие и стали – на растяжение, отсутствия ребер, уменьшения сварочных работ и сварных швов, индустриальности изготовления.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Пока, общепринятой методики расчета нет, но можно воспользоваться следующими рекомендациями: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диаметр стальной трубы Д=(1/4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1/5)h;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толщина стенки – t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 xml:space="preserve"> =Д/2(2n+1), где n=E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cт</w:t>
            </w:r>
            <w:r w:rsidRPr="00800EFC">
              <w:rPr>
                <w:sz w:val="24"/>
                <w:szCs w:val="24"/>
                <w:lang w:val="ru-MD"/>
              </w:rPr>
              <w:t>/Е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b</w:t>
            </w:r>
            <w:r w:rsidRPr="00800EFC">
              <w:rPr>
                <w:sz w:val="24"/>
                <w:szCs w:val="24"/>
                <w:lang w:val="ru-MD"/>
              </w:rPr>
              <w:t>;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>=(1/120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 xml:space="preserve">1/180)h, но не менее </w:t>
            </w:r>
            <w:r w:rsidRPr="00800EFC">
              <w:rPr>
                <w:position w:val="-18"/>
                <w:sz w:val="24"/>
                <w:szCs w:val="24"/>
                <w:lang w:val="ru-MD"/>
              </w:rPr>
              <w:object w:dxaOrig="2439" w:dyaOrig="499">
                <v:shape id="_x0000_i1029" type="#_x0000_t75" style="width:122.25pt;height:25.1pt" o:ole="" fillcolor="window">
                  <v:imagedata r:id="rId15" o:title=""/>
                </v:shape>
                <o:OLEObject Type="Embed" ProgID="Equation.3" ShapeID="_x0000_i1029" DrawAspect="Content" ObjectID="_1678090013" r:id="rId16"/>
              </w:objec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Размеры нижнего пяса – 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f</w:t>
            </w:r>
            <w:r w:rsidRPr="00800EFC">
              <w:rPr>
                <w:sz w:val="24"/>
                <w:szCs w:val="24"/>
                <w:lang w:val="ru-MD"/>
              </w:rPr>
              <w:t>=(2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3)t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 xml:space="preserve"> и b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f</w:t>
            </w:r>
            <w:r w:rsidRPr="00800EFC">
              <w:rPr>
                <w:sz w:val="24"/>
                <w:szCs w:val="24"/>
                <w:lang w:val="ru-MD"/>
              </w:rPr>
              <w:t>=A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n</w:t>
            </w:r>
            <w:r w:rsidRPr="00800EFC">
              <w:rPr>
                <w:sz w:val="24"/>
                <w:szCs w:val="24"/>
                <w:lang w:val="ru-MD"/>
              </w:rPr>
              <w:t>/t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f</w: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4"/>
            </w:tblGrid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object w:dxaOrig="11895" w:dyaOrig="7695">
                      <v:shape id="_x0000_i1030" type="#_x0000_t75" style="width:169.95pt;height:190.05pt" o:ole="" fillcolor="window">
                        <v:imagedata r:id="rId17" o:title="" croptop="11814f" cropbottom="6428f" cropleft="17925f" cropright="23131f"/>
                      </v:shape>
                      <o:OLEObject Type="Embed" ProgID="AutoCAD.Drawing.15" ShapeID="_x0000_i1030" DrawAspect="Content" ObjectID="_1678090014" r:id="rId18"/>
                    </w:object>
                  </w:r>
                </w:p>
              </w:tc>
            </w:tr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8.27 – Балка с трубобетонным верхним поясом</w:t>
                  </w:r>
                </w:p>
              </w:tc>
            </w:tr>
          </w:tbl>
          <w:p w:rsidR="000A374D" w:rsidRPr="00800EFC" w:rsidRDefault="000A374D" w:rsidP="00800EFC">
            <w:pPr>
              <w:pStyle w:val="a3"/>
              <w:tabs>
                <w:tab w:val="num" w:pos="643"/>
                <w:tab w:val="num" w:pos="851"/>
              </w:tabs>
              <w:rPr>
                <w:sz w:val="24"/>
                <w:szCs w:val="24"/>
                <w:lang w:val="ru-MD"/>
              </w:rPr>
            </w:pP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Для заполнение верхнего пояса рекомендуется жесткие бетоны марок 300-400 (класса В20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В25).</w:t>
            </w:r>
          </w:p>
          <w:p w:rsidR="000A374D" w:rsidRPr="00800EFC" w:rsidRDefault="000A374D" w:rsidP="000A374D">
            <w:pPr>
              <w:rPr>
                <w:lang w:val="ru-MD"/>
              </w:rPr>
            </w:pPr>
          </w:p>
          <w:p w:rsidR="000A374D" w:rsidRPr="00800EFC" w:rsidRDefault="000A374D" w:rsidP="000A374D">
            <w:pPr>
              <w:rPr>
                <w:lang w:val="ru-MD"/>
              </w:rPr>
            </w:pPr>
          </w:p>
          <w:p w:rsidR="000A374D" w:rsidRPr="00800EFC" w:rsidRDefault="000A374D" w:rsidP="00800EFC">
            <w:pPr>
              <w:pStyle w:val="a3"/>
              <w:ind w:firstLine="0"/>
              <w:jc w:val="center"/>
              <w:rPr>
                <w:b/>
                <w:sz w:val="24"/>
                <w:szCs w:val="24"/>
                <w:lang w:val="ru-MD"/>
              </w:rPr>
            </w:pPr>
          </w:p>
        </w:tc>
        <w:tc>
          <w:tcPr>
            <w:tcW w:w="7960" w:type="dxa"/>
            <w:shd w:val="clear" w:color="auto" w:fill="auto"/>
          </w:tcPr>
          <w:p w:rsidR="00602123" w:rsidRPr="00800EFC" w:rsidRDefault="00602123" w:rsidP="00800EFC">
            <w:pPr>
              <w:ind w:firstLine="720"/>
              <w:jc w:val="center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lastRenderedPageBreak/>
              <w:t>6 Àðºàëûº º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ðàëûìäàðûí æåò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ëä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ðó æîëäàðû</w:t>
            </w:r>
          </w:p>
          <w:p w:rsidR="00602123" w:rsidRPr="00800EFC" w:rsidRDefault="00602123" w:rsidP="00800EFC">
            <w:pPr>
              <w:pStyle w:val="3"/>
              <w:spacing w:line="240" w:lineRule="auto"/>
              <w:rPr>
                <w:rFonts w:ascii="Baltica Kazakh (L)" w:hAnsi="Baltica Kazakh (L)" w:hint="eastAsia"/>
                <w:sz w:val="24"/>
                <w:szCs w:val="24"/>
                <w:lang w:val="ru-RU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Àðºàëûº º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u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ðàëûìäàðûíû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n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 xml:space="preserve"> êå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n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íåí ºîëäàíûëóû ä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ñò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y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ðë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ãå ºàðà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f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àíäà í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òèæåë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 xml:space="preserve">íå 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y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íåìä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ðøàìà º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u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ðàëûì ï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ø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íäåð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í</w:t>
            </w: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n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 xml:space="preserve"> ïàéäà áîëóûíà 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ru-RU"/>
              </w:rPr>
              <w:t>êåï ñîºòû.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àñû á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ûëàí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àí </w:t>
            </w:r>
            <w:r w:rsidRPr="00800EFC">
              <w:rPr>
                <w:rFonts w:ascii="Baltica Kazakh (L)" w:hAnsi="Baltica Kazakh (L)"/>
                <w:b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ÍÑ</w:t>
            </w:r>
            <w:r w:rsidRPr="00800EFC">
              <w:rPr>
                <w:rFonts w:ascii="Baltica Kazakh (L)" w:hAnsi="Baltica Kazakh (L)"/>
                <w:b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àðàëûºòàðû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áàñòàïºû ºîñòàâð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ºàðà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</w:t>
            </w:r>
            <w:r w:rsidRPr="00602123">
              <w:t>1,3</w:t>
            </w:r>
            <w:r w:rsidRPr="00800EFC">
              <w:sym w:font="Symbol" w:char="F0B8"/>
            </w:r>
            <w:r w:rsidRPr="00602123">
              <w:t xml:space="preserve">1,5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åñå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îëàðäû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 àíûºòàëàäû. Êåðåãåë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ðàëûìäàðìåí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åêåëåñåä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îñòàâðäû òàðºàòºàíäà êåëåñ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óåëä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ñàºòàó êåðåê:</w:t>
            </w:r>
          </w:p>
          <w:p w:rsidR="00602123" w:rsidRPr="00800EFC" w:rsidRDefault="00602123" w:rsidP="00602123">
            <w:pPr>
              <w:pStyle w:val="a3"/>
              <w:rPr>
                <w:sz w:val="24"/>
                <w:szCs w:val="24"/>
              </w:rPr>
            </w:pPr>
            <w:r w:rsidRPr="00800EFC">
              <w:rPr>
                <w:sz w:val="24"/>
                <w:szCs w:val="24"/>
              </w:rPr>
              <w:t xml:space="preserve">                      </w:t>
            </w:r>
            <w:r w:rsidRPr="00800EFC">
              <w:rPr>
                <w:sz w:val="24"/>
                <w:szCs w:val="24"/>
                <w:lang w:val="en-US"/>
              </w:rPr>
              <w:t>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1</w:t>
            </w:r>
            <w:r w:rsidRPr="00800EFC">
              <w:rPr>
                <w:sz w:val="24"/>
                <w:szCs w:val="24"/>
                <w:lang w:val="ru-MD"/>
              </w:rPr>
              <w:t>=(0,6</w:t>
            </w:r>
            <w:r w:rsidRPr="00800EFC">
              <w:rPr>
                <w:sz w:val="24"/>
                <w:szCs w:val="24"/>
                <w:lang w:val="en-US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0,75)</w:t>
            </w:r>
            <w:r w:rsidRPr="00800EFC">
              <w:rPr>
                <w:sz w:val="24"/>
                <w:szCs w:val="24"/>
                <w:lang w:val="en-US"/>
              </w:rPr>
              <w:t>h</w:t>
            </w:r>
            <w:r w:rsidRPr="00800EFC">
              <w:rPr>
                <w:sz w:val="24"/>
                <w:szCs w:val="24"/>
                <w:lang w:val="ru-MD"/>
              </w:rPr>
              <w:t xml:space="preserve">; </w:t>
            </w:r>
            <w:r w:rsidRPr="00800EFC">
              <w:rPr>
                <w:sz w:val="24"/>
                <w:szCs w:val="24"/>
                <w:lang w:val="en-US"/>
              </w:rPr>
              <w:t>a</w:t>
            </w:r>
            <w:r w:rsidRPr="00800EFC">
              <w:rPr>
                <w:sz w:val="24"/>
                <w:szCs w:val="24"/>
                <w:lang w:val="en-US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>90</w:t>
            </w:r>
            <w:r w:rsidRPr="00800EFC">
              <w:rPr>
                <w:sz w:val="24"/>
                <w:szCs w:val="24"/>
              </w:rPr>
              <w:t xml:space="preserve"> мм;к</w:t>
            </w:r>
            <w:r w:rsidRPr="00800EFC">
              <w:rPr>
                <w:sz w:val="24"/>
                <w:szCs w:val="24"/>
              </w:rPr>
              <w:sym w:font="Symbol" w:char="F0B3"/>
            </w:r>
            <w:r w:rsidRPr="00800EFC">
              <w:rPr>
                <w:sz w:val="24"/>
                <w:szCs w:val="24"/>
              </w:rPr>
              <w:t xml:space="preserve">250 мм; </w:t>
            </w:r>
            <w:r w:rsidRPr="00800EFC">
              <w:rPr>
                <w:sz w:val="24"/>
                <w:szCs w:val="24"/>
              </w:rPr>
              <w:sym w:font="Symbol" w:char="F061"/>
            </w:r>
            <w:r w:rsidRPr="00800EFC">
              <w:rPr>
                <w:sz w:val="24"/>
                <w:szCs w:val="24"/>
              </w:rPr>
              <w:t>=40º-70º.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520"/>
            </w:tblGrid>
            <w:tr w:rsidR="00602123" w:rsidRPr="00602123" w:rsidTr="002F77AD">
              <w:tblPrEx>
                <w:tblCellMar>
                  <w:top w:w="0" w:type="dxa"/>
                  <w:bottom w:w="0" w:type="dxa"/>
                </w:tblCellMar>
              </w:tblPrEx>
              <w:trPr>
                <w:trHeight w:val="6449"/>
              </w:trPr>
              <w:tc>
                <w:tcPr>
                  <w:tcW w:w="7520" w:type="dxa"/>
                </w:tcPr>
                <w:p w:rsidR="002F77AD" w:rsidRPr="00602123" w:rsidRDefault="00E40ECE" w:rsidP="002F77AD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987210" cy="4094577"/>
                        <wp:effectExtent l="0" t="0" r="0" b="1270"/>
                        <wp:docPr id="302" name="Рисунок 302" descr="Табл7-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2" descr="Табл7-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978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96595" cy="41042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2F77AD">
              <w:tblPrEx>
                <w:tblCellMar>
                  <w:top w:w="0" w:type="dxa"/>
                  <w:bottom w:w="0" w:type="dxa"/>
                </w:tblCellMar>
              </w:tblPrEx>
              <w:trPr>
                <w:trHeight w:val="87"/>
              </w:trPr>
              <w:tc>
                <w:tcPr>
                  <w:tcW w:w="7520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 –бастап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ы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оставрды ыдырату; б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тпел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оставрды 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ру;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в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тпел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оставрды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есеб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не.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lastRenderedPageBreak/>
                    <w:t>C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урет  8.25 –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аларында арнайы тес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ктер бар 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lastRenderedPageBreak/>
              <w:t>Ш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êòåìåëåðä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îðíàëàñóû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òàñ àóäàíûíà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éêåñ êåëó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 àðàëûºòû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òïåë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ы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àäàí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àñû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ûðàº ºîñòàâðäàí,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ºàðàº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àëû ºîñòàâðäàí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ðàòûí áîëòòû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ìàðêàñû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Áèáîëàòòû àðºàëûºòàð.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Îëàðäû áîëòòû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ìàðêàñûíàí æàñàéäû.Àðºàëûº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àéûíäà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áåëäåóëåðä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áàðëûº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 àç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áîëàòòàí æàñàéäû.</w:t>
            </w:r>
          </w:p>
          <w:p w:rsidR="00602123" w:rsidRPr="00800EFC" w:rsidRDefault="00602123" w:rsidP="00602123">
            <w:pPr>
              <w:pStyle w:val="20"/>
              <w:rPr>
                <w:rFonts w:ascii="Baltica Kazakh (L)" w:hAnsi="Baltica Kazakh (L)"/>
                <w:b w:val="0"/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àáûð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àíû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øåòê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àóìàºòàðûíäà, ì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u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íäà </w:t>
            </w:r>
            <w:r w:rsidRPr="00800EFC">
              <w:rPr>
                <w:sz w:val="24"/>
                <w:szCs w:val="24"/>
              </w:rPr>
              <w:t xml:space="preserve"> </w:t>
            </w:r>
            <w:r w:rsidRPr="00800EFC">
              <w:rPr>
                <w:b w:val="0"/>
                <w:sz w:val="24"/>
                <w:szCs w:val="24"/>
              </w:rPr>
              <w:t>σ=σ</w:t>
            </w:r>
            <w:r w:rsidRPr="00800EFC">
              <w:rPr>
                <w:b w:val="0"/>
                <w:sz w:val="24"/>
                <w:szCs w:val="24"/>
                <w:vertAlign w:val="superscript"/>
              </w:rPr>
              <w:t>ст</w:t>
            </w:r>
            <w:r w:rsidRPr="00800EFC">
              <w:rPr>
                <w:b w:val="0"/>
                <w:sz w:val="24"/>
                <w:szCs w:val="24"/>
                <w:vertAlign w:val="subscript"/>
              </w:rPr>
              <w:t>т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, àë áåëäåó ºàëû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äû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û </w:t>
            </w:r>
            <w:r w:rsidRPr="00800EFC">
              <w:rPr>
                <w:b w:val="0"/>
                <w:sz w:val="24"/>
                <w:szCs w:val="24"/>
              </w:rPr>
              <w:t>σ=σ</w:t>
            </w:r>
            <w:r w:rsidRPr="00800EFC">
              <w:rPr>
                <w:b w:val="0"/>
                <w:sz w:val="24"/>
                <w:szCs w:val="24"/>
                <w:vertAlign w:val="superscript"/>
              </w:rPr>
              <w:t>вп</w:t>
            </w:r>
            <w:r w:rsidRPr="00800EFC">
              <w:rPr>
                <w:b w:val="0"/>
                <w:sz w:val="24"/>
                <w:szCs w:val="24"/>
                <w:vertAlign w:val="subscript"/>
              </w:rPr>
              <w:t>т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áîéûíøà äåï ñàíàï, ñîçûëûìäûëû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ûíû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ïàéäà áîëóûí àðºàëûºòàð åñåïòåóëåð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íäå åñåïêå àëûíàäû.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05"/>
            </w:tblGrid>
            <w:tr w:rsidR="00602123" w:rsidRPr="00602123" w:rsidTr="00800EFC">
              <w:tblPrEx>
                <w:tblCellMar>
                  <w:top w:w="0" w:type="dxa"/>
                  <w:bottom w:w="0" w:type="dxa"/>
                </w:tblCellMar>
              </w:tblPrEx>
              <w:trPr>
                <w:trHeight w:val="1918"/>
              </w:trPr>
              <w:tc>
                <w:tcPr>
                  <w:tcW w:w="7305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284980" cy="1807845"/>
                        <wp:effectExtent l="0" t="0" r="1270" b="1905"/>
                        <wp:docPr id="303" name="Рисунок 303" descr="Табл7-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3" descr="Табл7-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24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84980" cy="18078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blPrEx>
                <w:tblCellMar>
                  <w:top w:w="0" w:type="dxa"/>
                  <w:bottom w:w="0" w:type="dxa"/>
                </w:tblCellMar>
              </w:tblPrEx>
              <w:trPr>
                <w:trHeight w:val="189"/>
              </w:trPr>
              <w:tc>
                <w:tcPr>
                  <w:tcW w:w="730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8.26 – Биболатты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800EFC" w:rsidRDefault="00602123" w:rsidP="00602123">
            <w:pPr>
              <w:pStyle w:val="20"/>
              <w:rPr>
                <w:rFonts w:ascii="Baltica Kazakh (L)" w:hAnsi="Baltica Kazakh (L)"/>
                <w:b w:val="0"/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Àðºàëûºòûn áåðiêòiãií òåêñåðó ìûíà ôîðìóëàìåí </w:t>
            </w:r>
          </w:p>
          <w:p w:rsidR="00602123" w:rsidRPr="00800EFC" w:rsidRDefault="00602123" w:rsidP="00800EFC">
            <w:pPr>
              <w:pStyle w:val="a3"/>
              <w:ind w:firstLine="0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</w:rPr>
              <w:object w:dxaOrig="7640" w:dyaOrig="480">
                <v:shape id="_x0000_i1031" type="#_x0000_t75" style="width:381.75pt;height:24.3pt" o:ole="" fillcolor="window">
                  <v:imagedata r:id="rId19" o:title=""/>
                </v:shape>
                <o:OLEObject Type="Embed" ProgID="Equation.3" ShapeID="_x0000_i1031" DrawAspect="Content" ObjectID="_1678090015" r:id="rId20"/>
              </w:object>
            </w:r>
            <w:r w:rsidRPr="00800EFC">
              <w:rPr>
                <w:sz w:val="24"/>
                <w:szCs w:val="24"/>
              </w:rPr>
              <w:t xml:space="preserve">            (8.87)</w:t>
            </w:r>
          </w:p>
          <w:p w:rsidR="00602123" w:rsidRPr="00800EFC" w:rsidRDefault="00602123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</w:rPr>
              <w:t>ìuíäà</w:t>
            </w:r>
            <w:r w:rsidRPr="00800EFC">
              <w:rPr>
                <w:rFonts w:ascii="Baltica Kazakh (L)" w:hAnsi="Baltica Kazakh (L)" w:hint="eastAsia"/>
                <w:b/>
                <w:sz w:val="24"/>
                <w:szCs w:val="24"/>
              </w:rPr>
              <w:t xml:space="preserve"> </w:t>
            </w:r>
            <w:r w:rsidRPr="00800EFC">
              <w:rPr>
                <w:rFonts w:ascii="Baltica Kazakh (L)" w:hAnsi="Baltica Kazakh (L)"/>
                <w:b/>
                <w:sz w:val="24"/>
                <w:szCs w:val="24"/>
              </w:rPr>
              <w:t xml:space="preserve">          </w:t>
            </w:r>
            <w:r w:rsidRPr="00800EFC">
              <w:rPr>
                <w:sz w:val="24"/>
                <w:szCs w:val="24"/>
              </w:rPr>
              <w:t>а=(</w:t>
            </w:r>
            <w:r w:rsidRPr="00800EFC">
              <w:rPr>
                <w:sz w:val="24"/>
                <w:szCs w:val="24"/>
                <w:lang w:val="en-US"/>
              </w:rPr>
              <w:t>R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c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т</w:t>
            </w:r>
            <w:r w:rsidRPr="00800EFC">
              <w:rPr>
                <w:sz w:val="24"/>
                <w:szCs w:val="24"/>
                <w:lang w:val="ru-MD"/>
              </w:rPr>
              <w:t>/</w:t>
            </w:r>
            <w:r w:rsidRPr="00800EFC">
              <w:rPr>
                <w:sz w:val="24"/>
                <w:szCs w:val="24"/>
                <w:lang w:val="en-US"/>
              </w:rPr>
              <w:t>R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y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lang w:val="ru-MD"/>
              </w:rPr>
              <w:t>)(</w:t>
            </w:r>
            <w:r w:rsidRPr="00800EFC">
              <w:rPr>
                <w:sz w:val="24"/>
                <w:szCs w:val="24"/>
                <w:lang w:val="en-US"/>
              </w:rPr>
              <w:t>h</w:t>
            </w:r>
            <w:r w:rsidRPr="00800EFC">
              <w:rPr>
                <w:sz w:val="24"/>
                <w:szCs w:val="24"/>
                <w:lang w:val="ru-MD"/>
              </w:rPr>
              <w:t xml:space="preserve">/2),                   </w:t>
            </w:r>
            <w:r w:rsidRPr="00800EFC">
              <w:rPr>
                <w:sz w:val="24"/>
                <w:szCs w:val="24"/>
                <w:lang w:val="en-US"/>
              </w:rPr>
              <w:t>W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прив</w:t>
            </w:r>
            <w:r w:rsidRPr="00800EFC">
              <w:rPr>
                <w:sz w:val="24"/>
                <w:szCs w:val="24"/>
                <w:lang w:val="ru-MD"/>
              </w:rPr>
              <w:t>=А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800EFC">
              <w:rPr>
                <w:sz w:val="24"/>
                <w:szCs w:val="24"/>
                <w:lang w:val="en-US"/>
              </w:rPr>
              <w:t>h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>+</w:t>
            </w:r>
            <w:r w:rsidRPr="00800EFC">
              <w:rPr>
                <w:sz w:val="24"/>
                <w:szCs w:val="24"/>
                <w:lang w:val="en-US"/>
              </w:rPr>
              <w:t>W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>·</w:t>
            </w:r>
            <w:r w:rsidRPr="00800EFC">
              <w:rPr>
                <w:sz w:val="24"/>
                <w:szCs w:val="24"/>
                <w:lang w:val="en-US"/>
              </w:rPr>
              <w:t>m</w:t>
            </w:r>
          </w:p>
          <w:p w:rsidR="00602123" w:rsidRPr="00800EFC" w:rsidRDefault="00602123" w:rsidP="00602123">
            <w:pPr>
              <w:pStyle w:val="20"/>
              <w:rPr>
                <w:rFonts w:ascii="Baltica Kazakh (L)" w:hAnsi="Baltica Kazakh (L)" w:hint="eastAsia"/>
                <w:b w:val="0"/>
                <w:sz w:val="24"/>
                <w:szCs w:val="24"/>
              </w:rPr>
            </w:pPr>
            <w:r w:rsidRPr="00800EFC">
              <w:rPr>
                <w:b w:val="0"/>
                <w:sz w:val="24"/>
                <w:szCs w:val="24"/>
                <w:lang w:val="en-US"/>
              </w:rPr>
              <w:t>R</w:t>
            </w:r>
            <w:r w:rsidRPr="00800EFC">
              <w:rPr>
                <w:b w:val="0"/>
                <w:sz w:val="24"/>
                <w:szCs w:val="24"/>
                <w:vertAlign w:val="subscript"/>
                <w:lang w:val="en-US"/>
              </w:rPr>
              <w:t>y</w:t>
            </w:r>
            <w:r w:rsidRPr="00800EFC">
              <w:rPr>
                <w:b w:val="0"/>
                <w:sz w:val="24"/>
                <w:szCs w:val="24"/>
                <w:vertAlign w:val="superscript"/>
                <w:lang w:val="en-US"/>
              </w:rPr>
              <w:t>c</w:t>
            </w:r>
            <w:r w:rsidRPr="00800EFC">
              <w:rPr>
                <w:b w:val="0"/>
                <w:sz w:val="24"/>
                <w:szCs w:val="24"/>
                <w:vertAlign w:val="superscript"/>
                <w:lang w:val="ru-MD"/>
              </w:rPr>
              <w:t>т</w:t>
            </w:r>
            <w:r w:rsidRPr="00800EFC">
              <w:rPr>
                <w:b w:val="0"/>
                <w:sz w:val="24"/>
                <w:szCs w:val="24"/>
                <w:lang w:val="ru-MD"/>
              </w:rPr>
              <w:t xml:space="preserve">; </w:t>
            </w:r>
            <w:r w:rsidRPr="00800EFC">
              <w:rPr>
                <w:b w:val="0"/>
                <w:sz w:val="24"/>
                <w:szCs w:val="24"/>
                <w:lang w:val="en-US"/>
              </w:rPr>
              <w:t>R</w:t>
            </w:r>
            <w:r w:rsidRPr="00800EFC">
              <w:rPr>
                <w:b w:val="0"/>
                <w:sz w:val="24"/>
                <w:szCs w:val="24"/>
                <w:vertAlign w:val="subscript"/>
                <w:lang w:val="en-US"/>
              </w:rPr>
              <w:t>y</w:t>
            </w:r>
            <w:r w:rsidRPr="00800EFC">
              <w:rPr>
                <w:b w:val="0"/>
                <w:sz w:val="24"/>
                <w:szCs w:val="24"/>
                <w:vertAlign w:val="superscript"/>
                <w:lang w:val="ru-MD"/>
              </w:rPr>
              <w:t>вп</w:t>
            </w:r>
            <w:r w:rsidRPr="00800EFC">
              <w:rPr>
                <w:sz w:val="24"/>
                <w:szCs w:val="24"/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-ºàáûðfà æaíå æî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àð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û áåëäåó ìàòåðèàëäàðûíûn åñåïòiê êåäåðãiñi.</w:t>
            </w:r>
          </w:p>
          <w:p w:rsidR="00602123" w:rsidRPr="00800EFC" w:rsidRDefault="00602123" w:rsidP="00800EFC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800EFC">
              <w:rPr>
                <w:position w:val="-52"/>
                <w:sz w:val="24"/>
                <w:szCs w:val="24"/>
              </w:rPr>
              <w:object w:dxaOrig="5080" w:dyaOrig="1180">
                <v:shape id="_x0000_i1032" type="#_x0000_t75" style="width:253.65pt;height:58.6pt" o:ole="" fillcolor="window">
                  <v:imagedata r:id="rId21" o:title=""/>
                </v:shape>
                <o:OLEObject Type="Embed" ProgID="Equation.3" ShapeID="_x0000_i1032" DrawAspect="Content" ObjectID="_1678090016" r:id="rId22"/>
              </w:objec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àðû áîëàòòàí æàñàë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àðºàëûº àóìà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 ýïþð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áîéûíøà, ÿ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íè </w:t>
            </w:r>
            <w:r w:rsidRPr="00602123">
              <w:t>М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y</w:t>
            </w:r>
            <w:r w:rsidRPr="00800EFC">
              <w:rPr>
                <w:vertAlign w:val="superscript"/>
                <w:lang w:val="ru-MD"/>
              </w:rPr>
              <w:t>вп</w:t>
            </w:r>
            <w:r w:rsidRPr="00800EFC">
              <w:rPr>
                <w:lang w:val="ru-MD"/>
              </w:rPr>
              <w:t>·</w:t>
            </w:r>
            <w:r w:rsidRPr="00800EFC">
              <w:rPr>
                <w:lang w:val="en-US"/>
              </w:rPr>
              <w:t>W</w:t>
            </w:r>
            <w:r w:rsidRPr="00800EFC">
              <w:rPr>
                <w:vertAlign w:val="subscript"/>
                <w:lang w:val="ru-MD"/>
              </w:rPr>
              <w:t>прив.</w:t>
            </w:r>
            <w:r w:rsidRPr="00800EFC">
              <w:rPr>
                <w:lang w:val="ru-MD"/>
              </w:rPr>
              <w:t>·γ</w:t>
            </w:r>
            <w:r w:rsidRPr="00800EFC">
              <w:rPr>
                <w:vertAlign w:val="subscript"/>
                <w:lang w:val="ru-MD"/>
              </w:rPr>
              <w:t>с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</w:t>
            </w:r>
            <w:r w:rsidRPr="00602123">
              <w:t xml:space="preserve"> М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lang w:val="ru-MD"/>
              </w:rPr>
              <w:t xml:space="preserve">= 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y</w:t>
            </w:r>
            <w:r w:rsidRPr="00800EFC">
              <w:rPr>
                <w:vertAlign w:val="superscript"/>
                <w:lang w:val="en-US"/>
              </w:rPr>
              <w:t>c</w:t>
            </w:r>
            <w:r w:rsidRPr="00800EFC">
              <w:rPr>
                <w:vertAlign w:val="superscript"/>
                <w:lang w:val="ru-MD"/>
              </w:rPr>
              <w:t>т</w:t>
            </w:r>
            <w:r w:rsidRPr="00800EFC">
              <w:rPr>
                <w:lang w:val="ru-MD"/>
              </w:rPr>
              <w:t>·</w:t>
            </w:r>
            <w:r w:rsidRPr="00800EFC">
              <w:rPr>
                <w:lang w:val="en-US"/>
              </w:rPr>
              <w:t>W</w:t>
            </w:r>
            <w:r w:rsidRPr="00800EFC">
              <w:rPr>
                <w:lang w:val="ru-MD"/>
              </w:rPr>
              <w:t>·γ</w:t>
            </w:r>
            <w:r w:rsidRPr="00800EFC">
              <w:rPr>
                <w:vertAlign w:val="subscript"/>
                <w:lang w:val="ru-MD"/>
              </w:rPr>
              <w:t>с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ºèìàíû 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äàó ê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ðàìäû àðºàëûºòàðä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íäåé.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Àëäûí-àëà êåðíåëãåí àðºàëûºòàð.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Ìåòàë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ûíûí 10-20</w:t>
            </w:r>
            <w:r w:rsidRPr="00800EFC">
              <w:rPr>
                <w:rFonts w:ascii="Baltica Kazakh (L)" w:hAnsi="Baltica Kazakh (L)"/>
                <w:lang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-êå, àðºàëûº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íûí 5-12</w:t>
            </w:r>
            <w:r w:rsidRPr="00800EFC">
              <w:rPr>
                <w:rFonts w:ascii="Baltica Kazakh (L)" w:hAnsi="Baltica Kazakh (L)"/>
                <w:lang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-êå àçàéòûï,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ðûëûñ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ìåíäåòóãå áîëàäû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ìàòåðèàëäû 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áîéûíøà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ëóãå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Àëäûí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 êåðíåó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çáåêòåìå ºîñûë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æåêå ýëåìåíòòåð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ìàéûñóûíàí,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àðû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áîëóû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áîëàòòû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ñîçûëóûí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áåéòåä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êåðíåëãåí ºèìàäà îñûíäàé àðºàëûºòàðäû åñåïòåó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ðàäû: àëäûí-àëà êåðíåó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c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àñòûíäà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àðºàëûº êåðåíó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ñî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åñåïòåó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Ìàéûñºàº ºàáûð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àëû àðºàëû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òàð.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àìåí æàñà</w:t>
            </w:r>
            <w:r w:rsidRPr="00800EFC">
              <w:rPr>
                <w:rFonts w:ascii="Baltica Kazakh (L)" w:hAnsi="Baltica Kazakh (L)"/>
                <w:lang w:eastAsia="ko-KR"/>
              </w:rPr>
              <w:t>лады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ìåòàëäû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ãíå ºîë æåòê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çóãå áîëàòûí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æåòêåí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ôàêòîðû ºîëäàíûëàäû.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>6</w:t>
            </w:r>
            <w:r w:rsidRPr="00800EFC">
              <w:sym w:font="Symbol" w:char="F0A3"/>
            </w:r>
            <w:r w:rsidRPr="00800EFC">
              <w:rPr>
                <w:position w:val="-6"/>
              </w:rPr>
              <w:object w:dxaOrig="260" w:dyaOrig="340">
                <v:shape id="_x0000_i1033" type="#_x0000_t75" style="width:13.4pt;height:16.75pt" o:ole="" fillcolor="window">
                  <v:imagedata r:id="rId23" o:title=""/>
                </v:shape>
                <o:OLEObject Type="Embed" ProgID="Equation.3" ShapeID="_x0000_i1033" DrawAspect="Content" ObjectID="_1678090017" r:id="rId24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13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áîëàòûí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 ïåí åñåïòåó 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àðºàëûºòàðäàí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ðøàìà åðåêøåë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 ºûðëàðûí (1-1,5)</w:t>
            </w:r>
            <w:r w:rsidRPr="00800EFC">
              <w:rPr>
                <w:rFonts w:ascii="Baltica Kazakh (L)" w:hAnsi="Baltica Kazakh (L)"/>
                <w:lang w:val="en-US" w:eastAsia="ko-KR"/>
              </w:rPr>
              <w:t>h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àðàëûºòà îð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àëàñòûðàäû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M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/>
                <w:lang w:val="en-US" w:eastAsia="ko-KR"/>
              </w:rPr>
              <w:t>Q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òåêñåðåä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50 êÍ/ì-ãå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ñòàòèêàëûº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îëàðäû </w:t>
            </w:r>
            <w:r w:rsidRPr="00602123">
              <w:t xml:space="preserve"> σ</w:t>
            </w:r>
            <w:r w:rsidRPr="00800EFC">
              <w:rPr>
                <w:vertAlign w:val="subscript"/>
              </w:rPr>
              <w:t>т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äàí 34,5 ÊÍ/ñì</w:t>
            </w:r>
            <w:r w:rsidRPr="00800EFC">
              <w:rPr>
                <w:rFonts w:ascii="Baltica Kazakh (L)" w:hAnsi="Baltica Kazakh (L)" w:hint="eastAsia"/>
                <w:vertAlign w:val="superscript"/>
                <w:lang w:eastAsia="ko-KR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áîëàòòàí ºîëäàíó 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ñû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ûëàäû.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àñû ºàòïàðëû àðºàëûºòàð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çãåøå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,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ðûøòû, òîëºûíäû, òðàïåöèàëûº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ðûøòàð áîëûï êåëãåí ºàòïàðìåí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2-8 ìì.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Àðòûºøûëû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û-ºàáûð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</w:t>
            </w:r>
            <w:r w:rsidRPr="00800EFC">
              <w:rPr>
                <w:rFonts w:ascii="Baltica Kazakh (L)" w:hAnsi="Baltica Kazakh (L)"/>
                <w:lang w:eastAsia="ko-KR"/>
              </w:rPr>
              <w:t>л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û,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ºûðëàðäû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áîëìàóû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áåëäåóëåðä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Êåìø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 æàáûëóûíû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Îëàðäû ºîëäàíóäû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ïåðñïåêòèâàëûº àóìà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30 ì àðàëûºòà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èìàðàòòàðû æå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æàáó áîëûï òàáûëàäû.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Æèíàºòûº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ñóëåð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àðû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áîëòòàðäà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ôëàíöòû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ñóëåð.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Îðòàº ºàáûëäàí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 åñåïòåó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æîº.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òåêñåðóäå êåëåñ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ôîðìóëàëàð ºîëäàíûëóû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en-US"/>
              </w:rPr>
            </w:pPr>
            <w:r w:rsidRPr="00800EFC">
              <w:rPr>
                <w:position w:val="-58"/>
                <w:sz w:val="24"/>
                <w:szCs w:val="24"/>
              </w:rPr>
              <w:object w:dxaOrig="2920" w:dyaOrig="1280">
                <v:shape id="_x0000_i1034" type="#_x0000_t75" style="width:145.65pt;height:63.65pt" o:ole="" fillcolor="window">
                  <v:imagedata r:id="rId25" o:title=""/>
                </v:shape>
                <o:OLEObject Type="Embed" ProgID="Equation.3" ShapeID="_x0000_i1034" DrawAspect="Content" ObjectID="_1678090018" r:id="rId26"/>
              </w:object>
            </w:r>
            <w:r w:rsidRPr="00800EFC">
              <w:rPr>
                <w:sz w:val="24"/>
                <w:szCs w:val="24"/>
                <w:lang w:val="en-US"/>
              </w:rPr>
              <w:t xml:space="preserve">                                           (8.88)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Æîfàð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û áåëäåóëi áåòîíäû ºuáûð àðºàëûºòàð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äañòyðëi àðºàëûºòàðäàí ºàòànäûº ºûðëàðûíûn áîëìàóûìåí æaíå àðºàëûºòûn æîfàðfû ìåòàëë áåëäåóiíin îðíûíäà áåòîíäû ºuáûð áîëóûìåí åðåêøåë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íåäi.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Ñòàòèêàëûº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êòåìå êåçiíäå æaíå 12,18,24 ì àðàëûºòàðäà, æåêå æaíå áàñºà æàfäàéëàðäà oíåðêañiï æaíå àçàìàòòûº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ðûëûìäàð æàáûíûìåí æàáó òoñåìåñiíin êoòåðåòií êîíñòðóêöèÿëàðû áîëóû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ìêií.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Äañòyðëi áîëàò àðºàëûºòàðäû ºàðàñòûðûëfàíäàðìåí (êoðñåòiëãåí àðàëûº àðàñûíäà) àóûñòûðó áîëàòòû</w:t>
            </w:r>
            <w:r w:rsidRPr="00800EFC">
              <w:rPr>
                <w:rFonts w:ascii="Baltica Kazakh (L)" w:hAnsi="Baltica Kazakh (L)"/>
                <w:lang w:val="en-US" w:eastAsia="ko-KR"/>
              </w:rPr>
              <w:t xml:space="preserve"> </w:t>
            </w:r>
            <w:r w:rsidRPr="00800EFC">
              <w:rPr>
                <w:lang w:val="en-US"/>
              </w:rPr>
              <w:t>≈20 %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, æàñàóäàfû ånáåê øûfûìûí </w:t>
            </w:r>
            <w:r w:rsidRPr="00800EFC">
              <w:rPr>
                <w:lang w:val="en-US"/>
              </w:rPr>
              <w:t>≈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5-10 </w:t>
            </w:r>
            <w:r w:rsidRPr="00800EFC">
              <w:rPr>
                <w:rFonts w:ascii="Baltica Kazakh (L)" w:hAnsi="Baltica Kazakh (L)"/>
                <w:lang w:val="en-US"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, æèíàºòàóäà </w:t>
            </w:r>
            <w:r w:rsidRPr="00800EFC">
              <w:rPr>
                <w:lang w:val="en-US"/>
              </w:rPr>
              <w:t>≈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5-7 </w:t>
            </w:r>
            <w:r w:rsidRPr="00800EFC">
              <w:rPr>
                <w:rFonts w:ascii="Baltica Kazakh (L)" w:hAnsi="Baltica Kazakh (L)"/>
                <w:lang w:val="en-US"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, æuìûñ êåçiíäåãi ºuíûí </w:t>
            </w:r>
            <w:r w:rsidRPr="00800EFC">
              <w:rPr>
                <w:lang w:val="en-US"/>
              </w:rPr>
              <w:t>≈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20</w:t>
            </w:r>
            <w:r w:rsidRPr="00800EFC">
              <w:rPr>
                <w:rFonts w:ascii="Baltica Kazakh (L)" w:hAnsi="Baltica Kazakh (L)"/>
                <w:lang w:val="en-US"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-êå äåéií yíåì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åóäi áåðåäi.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Áuë áåòîííûn ºûñûëófà æaíå áîëàòòûn ñîçûëófà æuìûñû êåçiíäå ºûðëàðûíûn áîëìàóû, ïiñiðó æuìûñòàðûíûn æaíå òiãiñòåðiíin àçàþû, æàñàëóäûn èíäóñòðèÿëûfû ñèÿºòû ºàñèåòòåðií òîëûº ïàéäàëàífàíäà æyçåãå àñàäû.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Açiðøå åñåïòåóäin îðòàº ºàáûëäàífàí aäiñi æîº, áiðàº êåëåñi uñû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ûñòàðäû ºîëäàíófà áîëàäû: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Áîëàò ºuáûð äèàìåòði</w:t>
            </w:r>
            <w:r w:rsidRPr="00800EFC">
              <w:rPr>
                <w:lang w:val="en-US"/>
              </w:rPr>
              <w:t xml:space="preserve">  </w:t>
            </w:r>
            <w:r w:rsidRPr="00602123">
              <w:t>Д</w:t>
            </w:r>
            <w:r w:rsidRPr="00800EFC">
              <w:rPr>
                <w:lang w:val="en-US"/>
              </w:rPr>
              <w:t>=(1/4</w:t>
            </w:r>
            <w:r w:rsidRPr="00800EFC">
              <w:sym w:font="Symbol" w:char="F0B8"/>
            </w:r>
            <w:r w:rsidRPr="00800EFC">
              <w:rPr>
                <w:lang w:val="en-US"/>
              </w:rPr>
              <w:t>1/5)h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Kàáûðfà ºàëûnäûfû </w:t>
            </w:r>
            <w:r w:rsidRPr="00800EFC">
              <w:rPr>
                <w:lang w:val="en-US"/>
              </w:rPr>
              <w:t>– t=</w:t>
            </w:r>
            <w:r w:rsidRPr="00800EFC">
              <w:rPr>
                <w:lang w:val="ru-MD"/>
              </w:rPr>
              <w:t>Д</w:t>
            </w:r>
            <w:r w:rsidRPr="00800EFC">
              <w:rPr>
                <w:lang w:val="en-US"/>
              </w:rPr>
              <w:t>/2(2n+1)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,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ìuíäà </w:t>
            </w:r>
            <w:r w:rsidRPr="00800EFC">
              <w:rPr>
                <w:lang w:val="en-US"/>
              </w:rPr>
              <w:t xml:space="preserve"> n=E</w:t>
            </w:r>
            <w:r w:rsidRPr="00800EFC">
              <w:rPr>
                <w:vertAlign w:val="subscript"/>
                <w:lang w:val="en-US"/>
              </w:rPr>
              <w:t>c</w:t>
            </w:r>
            <w:r w:rsidRPr="00800EFC">
              <w:rPr>
                <w:vertAlign w:val="subscript"/>
              </w:rPr>
              <w:t>т</w:t>
            </w:r>
            <w:r w:rsidRPr="00800EFC">
              <w:rPr>
                <w:lang w:val="en-US"/>
              </w:rPr>
              <w:t>/</w:t>
            </w:r>
            <w:r w:rsidRPr="00602123">
              <w:t>Е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;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t>=(1/120</w:t>
            </w:r>
            <w:r w:rsidRPr="00800EFC">
              <w:rPr>
                <w:lang w:val="en-US"/>
              </w:rPr>
              <w:sym w:font="Symbol" w:char="F0B8"/>
            </w:r>
            <w:r w:rsidRPr="00800EFC">
              <w:rPr>
                <w:lang w:val="en-US"/>
              </w:rPr>
              <w:t xml:space="preserve">1/180)h,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áiðàº </w:t>
            </w:r>
            <w:r w:rsidRPr="00800EFC">
              <w:rPr>
                <w:position w:val="-18"/>
                <w:lang w:val="en-US"/>
              </w:rPr>
              <w:object w:dxaOrig="2340" w:dyaOrig="480">
                <v:shape id="_x0000_i1035" type="#_x0000_t75" style="width:117.2pt;height:24.3pt" o:ole="" fillcolor="window">
                  <v:imagedata r:id="rId27" o:title=""/>
                </v:shape>
                <o:OLEObject Type="Embed" ProgID="Equation.3" ShapeID="_x0000_i1035" DrawAspect="Content" ObjectID="_1678090019" r:id="rId28"/>
              </w:objec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-äåí êåì åìåñ.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Òoìåíãi áåëäåóäin oëøåìäåði </w:t>
            </w:r>
            <w:r w:rsidRPr="00800EFC">
              <w:rPr>
                <w:lang w:val="en-US"/>
              </w:rPr>
              <w:t>– 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en-US"/>
              </w:rPr>
              <w:t>=(2</w:t>
            </w:r>
            <w:r w:rsidRPr="00800EFC">
              <w:rPr>
                <w:lang w:val="en-US"/>
              </w:rPr>
              <w:sym w:font="Symbol" w:char="F0B8"/>
            </w:r>
            <w:r w:rsidRPr="00800EFC">
              <w:rPr>
                <w:lang w:val="en-US"/>
              </w:rPr>
              <w:t>3)t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æaíå </w:t>
            </w:r>
            <w:r w:rsidRPr="00800EFC">
              <w:rPr>
                <w:lang w:val="en-US"/>
              </w:rPr>
              <w:t xml:space="preserve"> 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en-US"/>
              </w:rPr>
              <w:t>=A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en-US"/>
              </w:rPr>
              <w:t>/t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. Æîfàðfû áåëäåóäi òîëòûðó yøií Êë.Â20-Â25 (300-400 òànáàëû) ºàòòû áåòîíäû ºîëäàíó uñûíûëàäû. </w:t>
            </w:r>
          </w:p>
          <w:tbl>
            <w:tblPr>
              <w:tblW w:w="7174" w:type="dxa"/>
              <w:tblLayout w:type="fixed"/>
              <w:tblLook w:val="0000" w:firstRow="0" w:lastRow="0" w:firstColumn="0" w:lastColumn="0" w:noHBand="0" w:noVBand="0"/>
            </w:tblPr>
            <w:tblGrid>
              <w:gridCol w:w="4096"/>
              <w:gridCol w:w="3078"/>
            </w:tblGrid>
            <w:tr w:rsidR="00602123" w:rsidRPr="00602123" w:rsidTr="00800EFC">
              <w:tblPrEx>
                <w:tblCellMar>
                  <w:top w:w="0" w:type="dxa"/>
                  <w:bottom w:w="0" w:type="dxa"/>
                </w:tblCellMar>
              </w:tblPrEx>
              <w:trPr>
                <w:trHeight w:val="2781"/>
              </w:trPr>
              <w:tc>
                <w:tcPr>
                  <w:tcW w:w="409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602123">
                    <w:rPr>
                      <w:sz w:val="24"/>
                      <w:szCs w:val="24"/>
                      <w:lang w:val="ru-MD"/>
                    </w:rPr>
                    <w:object w:dxaOrig="11895" w:dyaOrig="7695">
                      <v:shape id="_x0000_i1036" type="#_x0000_t75" style="width:169.95pt;height:190.05pt" o:ole="" fillcolor="window">
                        <v:imagedata r:id="rId17" o:title="" croptop="11814f" cropbottom="6428f" cropleft="17925f" cropright="23131f"/>
                      </v:shape>
                      <o:OLEObject Type="Embed" ProgID="AutoCAD.Drawing.15" ShapeID="_x0000_i1036" DrawAspect="Content" ObjectID="_1678090020" r:id="rId29"/>
                    </w:object>
                  </w:r>
                </w:p>
              </w:tc>
              <w:tc>
                <w:tcPr>
                  <w:tcW w:w="3078" w:type="dxa"/>
                  <w:vAlign w:val="center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Сурет 8.27 –Жо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ы белдеу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бырбетонды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</w:p>
              </w:tc>
            </w:tr>
          </w:tbl>
          <w:p w:rsidR="00602123" w:rsidRPr="00800EFC" w:rsidRDefault="00602123" w:rsidP="00602123">
            <w:pPr>
              <w:rPr>
                <w:lang w:val="ru-MD"/>
              </w:rPr>
            </w:pPr>
          </w:p>
          <w:p w:rsidR="000A374D" w:rsidRPr="00800EFC" w:rsidRDefault="000A374D" w:rsidP="00800EFC">
            <w:pPr>
              <w:pStyle w:val="a3"/>
              <w:ind w:firstLine="0"/>
              <w:jc w:val="center"/>
              <w:rPr>
                <w:b/>
                <w:sz w:val="24"/>
                <w:szCs w:val="24"/>
                <w:lang w:val="ru-MD"/>
              </w:rPr>
            </w:pPr>
          </w:p>
        </w:tc>
      </w:tr>
    </w:tbl>
    <w:p w:rsidR="000A374D" w:rsidRDefault="000A374D" w:rsidP="000A374D">
      <w:pPr>
        <w:pStyle w:val="a3"/>
        <w:jc w:val="center"/>
        <w:rPr>
          <w:b/>
          <w:sz w:val="24"/>
          <w:szCs w:val="24"/>
          <w:lang w:val="ru-MD"/>
        </w:rPr>
      </w:pPr>
    </w:p>
    <w:p w:rsidR="000A374D" w:rsidRDefault="000A374D" w:rsidP="000A374D">
      <w:pPr>
        <w:pStyle w:val="a3"/>
        <w:jc w:val="center"/>
        <w:rPr>
          <w:b/>
          <w:sz w:val="24"/>
          <w:szCs w:val="24"/>
          <w:lang w:val="ru-MD"/>
        </w:rPr>
      </w:pPr>
    </w:p>
    <w:p w:rsidR="000A374D" w:rsidRPr="000A374D" w:rsidRDefault="000A374D">
      <w:pPr>
        <w:rPr>
          <w:lang w:val="ru-MD"/>
        </w:rPr>
      </w:pPr>
    </w:p>
    <w:sectPr w:rsidR="000A374D" w:rsidRPr="000A374D" w:rsidSect="000A374D">
      <w:pgSz w:w="16838" w:h="11906" w:orient="landscape" w:code="9"/>
      <w:pgMar w:top="567" w:right="567" w:bottom="567" w:left="567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0FAA336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3157D95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12AC74D9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7E14DED"/>
    <w:multiLevelType w:val="singleLevel"/>
    <w:tmpl w:val="72DE4D7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CB7291D"/>
    <w:multiLevelType w:val="singleLevel"/>
    <w:tmpl w:val="F3F0F35E"/>
    <w:lvl w:ilvl="0">
      <w:start w:val="6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08D2BF1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>
    <w:nsid w:val="540E5BE1"/>
    <w:multiLevelType w:val="singleLevel"/>
    <w:tmpl w:val="2FD430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8">
    <w:nsid w:val="58A8728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617C29AA"/>
    <w:multiLevelType w:val="singleLevel"/>
    <w:tmpl w:val="92BE09B4"/>
    <w:lvl w:ilvl="0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10">
    <w:nsid w:val="79A2209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8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74D"/>
    <w:rsid w:val="000A374D"/>
    <w:rsid w:val="0017245A"/>
    <w:rsid w:val="002F77AD"/>
    <w:rsid w:val="00602123"/>
    <w:rsid w:val="00800EFC"/>
    <w:rsid w:val="0089107A"/>
    <w:rsid w:val="00945F39"/>
    <w:rsid w:val="00A51768"/>
    <w:rsid w:val="00C07B03"/>
    <w:rsid w:val="00C3797B"/>
    <w:rsid w:val="00E40ECE"/>
    <w:rsid w:val="00E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CA9A6-1158-4AD5-9250-5033C868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autoRedefine/>
    <w:semiHidden/>
    <w:pPr>
      <w:numPr>
        <w:numId w:val="1"/>
      </w:numPr>
    </w:pPr>
    <w:rPr>
      <w:sz w:val="28"/>
      <w:szCs w:val="20"/>
    </w:rPr>
  </w:style>
  <w:style w:type="paragraph" w:styleId="a3">
    <w:name w:val="Body Text Indent"/>
    <w:basedOn w:val="a"/>
    <w:semiHidden/>
    <w:pPr>
      <w:ind w:firstLine="567"/>
      <w:jc w:val="both"/>
    </w:pPr>
    <w:rPr>
      <w:sz w:val="28"/>
      <w:szCs w:val="20"/>
    </w:rPr>
  </w:style>
  <w:style w:type="paragraph" w:styleId="3">
    <w:name w:val="Body Text Indent 3"/>
    <w:basedOn w:val="a"/>
    <w:semiHidden/>
    <w:pPr>
      <w:spacing w:line="312" w:lineRule="auto"/>
      <w:ind w:firstLine="426"/>
      <w:jc w:val="both"/>
    </w:pPr>
    <w:rPr>
      <w:sz w:val="28"/>
      <w:szCs w:val="20"/>
      <w:lang w:val="ru-MD"/>
    </w:rPr>
  </w:style>
  <w:style w:type="paragraph" w:styleId="20">
    <w:name w:val="Body Text Indent 2"/>
    <w:basedOn w:val="a"/>
    <w:semiHidden/>
    <w:pPr>
      <w:ind w:firstLine="567"/>
      <w:jc w:val="both"/>
    </w:pPr>
    <w:rPr>
      <w:b/>
      <w:bCs/>
      <w:sz w:val="28"/>
      <w:szCs w:val="20"/>
    </w:rPr>
  </w:style>
  <w:style w:type="table" w:styleId="a4">
    <w:name w:val="Table Grid"/>
    <w:basedOn w:val="a1"/>
    <w:uiPriority w:val="39"/>
    <w:rsid w:val="000A3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rsid w:val="00602123"/>
    <w:pPr>
      <w:jc w:val="both"/>
    </w:pPr>
    <w:rPr>
      <w:szCs w:val="20"/>
    </w:rPr>
  </w:style>
  <w:style w:type="character" w:customStyle="1" w:styleId="a6">
    <w:name w:val="Основной текст Знак"/>
    <w:link w:val="a5"/>
    <w:semiHidden/>
    <w:rsid w:val="0060212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1378</Words>
  <Characters>7857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 VIII</vt:lpstr>
    </vt:vector>
  </TitlesOfParts>
  <Company/>
  <LinksUpToDate>false</LinksUpToDate>
  <CharactersWithSpaces>9217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 VIII</dc:title>
  <dc:subject/>
  <dc:creator>Владимир Губарев</dc:creator>
  <cp:keywords/>
  <dc:description/>
  <cp:lastModifiedBy>Болат</cp:lastModifiedBy>
  <cp:revision>3</cp:revision>
  <cp:lastPrinted>2002-12-01T15:12:00Z</cp:lastPrinted>
  <dcterms:created xsi:type="dcterms:W3CDTF">2021-03-24T04:54:00Z</dcterms:created>
  <dcterms:modified xsi:type="dcterms:W3CDTF">2021-03-24T05:09:00Z</dcterms:modified>
</cp:coreProperties>
</file>